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rPr>
          <w:rFonts w:ascii="맑은 고딕" w:eastAsia="맑은 고딕" w:hAnsi="맑은 고딕" w:cs="맑은 고딕" w:hint="eastAsia"/>
          <w:u w:color="auto"/>
        </w:rPr>
      </w:pPr>
      <w:r>
        <w:rPr>
          <w:rFonts w:ascii="맑은 고딕" w:eastAsia="맑은 고딕" w:hAnsi="맑은 고딕" w:cs="맑은 고딕"/>
          <w:u w:color="auto"/>
        </w:rPr>
        <w:t>[</w:t>
      </w:r>
      <w:r>
        <w:rPr>
          <w:rFonts w:ascii="맑은 고딕" w:eastAsia="맑은 고딕" w:hAnsi="맑은 고딕" w:cs="맑은 고딕"/>
          <w:u w:color="auto"/>
        </w:rPr>
        <w:t>붙임</w:t>
      </w:r>
      <w:r>
        <w:rPr>
          <w:rFonts w:ascii="맑은 고딕" w:eastAsia="맑은 고딕" w:hAnsi="맑은 고딕" w:cs="맑은 고딕"/>
          <w:u w:color="auto"/>
        </w:rPr>
        <w:t xml:space="preserve">1] </w:t>
      </w:r>
      <w:r>
        <w:rPr>
          <w:rFonts w:ascii="맑은 고딕" w:eastAsia="맑은 고딕" w:hAnsi="맑은 고딕" w:cs="맑은 고딕"/>
          <w:u w:color="auto"/>
        </w:rPr>
        <w:t>연구</w:t>
      </w:r>
      <w:r>
        <w:rPr>
          <w:rFonts w:ascii="맑은 고딕" w:eastAsia="맑은 고딕" w:hAnsi="맑은 고딕" w:cs="맑은 고딕"/>
          <w:u w:color="auto"/>
        </w:rPr>
        <w:t xml:space="preserve"> </w:t>
      </w:r>
      <w:r>
        <w:rPr>
          <w:rFonts w:ascii="맑은 고딕" w:eastAsia="맑은 고딕" w:hAnsi="맑은 고딕" w:cs="맑은 고딕"/>
          <w:u w:color="auto"/>
        </w:rPr>
        <w:t>제안</w:t>
      </w:r>
      <w:r>
        <w:rPr>
          <w:rFonts w:ascii="맑은 고딕" w:eastAsia="맑은 고딕" w:hAnsi="맑은 고딕" w:cs="맑은 고딕"/>
          <w:u w:color="auto"/>
        </w:rPr>
        <w:t xml:space="preserve"> </w:t>
      </w:r>
      <w:r>
        <w:rPr>
          <w:rFonts w:ascii="맑은 고딕" w:eastAsia="맑은 고딕" w:hAnsi="맑은 고딕" w:cs="맑은 고딕"/>
          <w:u w:color="auto"/>
        </w:rPr>
        <w:t>요청서</w:t>
      </w:r>
      <w:r>
        <w:rPr>
          <w:rFonts w:ascii="맑은 고딕" w:eastAsia="맑은 고딕" w:hAnsi="맑은 고딕" w:cs="맑은 고딕"/>
          <w:u w:color="auto"/>
        </w:rPr>
        <w:t xml:space="preserve"> </w:t>
      </w:r>
    </w:p>
    <w:p>
      <w:pPr>
        <w:ind w:right="140"/>
        <w:jc w:val="center"/>
        <w:spacing w:after="240" w:line="240" w:lineRule="auto"/>
        <w:rPr>
          <w:rFonts w:ascii="맑은 고딕" w:eastAsia="맑은 고딕" w:hAnsi="맑은 고딕" w:cs="맑은 고딕"/>
          <w:b/>
          <w:sz w:val="32"/>
          <w:szCs w:val="32"/>
        </w:rPr>
      </w:pPr>
      <w:r>
        <w:rPr>
          <w:rFonts w:ascii="맑은 고딕" w:eastAsia="맑은 고딕" w:hAnsi="맑은 고딕" w:cs="맑은 고딕"/>
          <w:b/>
          <w:sz w:val="32"/>
          <w:szCs w:val="32"/>
        </w:rPr>
        <w:t>연구</w:t>
      </w:r>
      <w:r>
        <w:rPr>
          <w:rFonts w:ascii="맑은 고딕" w:eastAsia="맑은 고딕" w:hAnsi="맑은 고딕" w:cs="맑은 고딕"/>
          <w:b/>
          <w:sz w:val="32"/>
          <w:szCs w:val="32"/>
        </w:rPr>
        <w:t xml:space="preserve"> </w:t>
      </w:r>
      <w:r>
        <w:rPr>
          <w:rFonts w:ascii="맑은 고딕" w:eastAsia="맑은 고딕" w:hAnsi="맑은 고딕" w:cs="맑은 고딕"/>
          <w:b/>
          <w:sz w:val="32"/>
          <w:szCs w:val="32"/>
        </w:rPr>
        <w:t>제안</w:t>
      </w:r>
      <w:r>
        <w:rPr>
          <w:rFonts w:ascii="맑은 고딕" w:eastAsia="맑은 고딕" w:hAnsi="맑은 고딕" w:cs="맑은 고딕"/>
          <w:b/>
          <w:sz w:val="32"/>
          <w:szCs w:val="32"/>
        </w:rPr>
        <w:t xml:space="preserve"> </w:t>
      </w:r>
      <w:r>
        <w:rPr>
          <w:rFonts w:ascii="맑은 고딕" w:eastAsia="맑은 고딕" w:hAnsi="맑은 고딕" w:cs="맑은 고딕"/>
          <w:b/>
          <w:sz w:val="32"/>
          <w:szCs w:val="32"/>
        </w:rPr>
        <w:t>요청서</w:t>
      </w:r>
    </w:p>
    <w:tbl>
      <w:tblPr>
        <w:tblStyle w:val="a5"/>
        <w:tblW w:w="948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1890"/>
        <w:gridCol w:w="7590"/>
      </w:tblGrid>
      <w:tr>
        <w:trPr>
          <w:jc w:val="center"/>
          <w:trHeight w:val="720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="맑은 고딕" w:eastAsia="맑은 고딕" w:hAnsi="맑은 고딕" w:cs="맑은 고딕"/>
                <w:b/>
                <w:sz w:val="26"/>
                <w:szCs w:val="26"/>
              </w:rPr>
            </w:pP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연구과제명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="맑은 고딕" w:eastAsia="맑은 고딕" w:hAnsi="맑은 고딕" w:cs="맑은 고딕"/>
                <w:b/>
                <w:sz w:val="26"/>
                <w:szCs w:val="26"/>
              </w:rPr>
            </w:pP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공감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교육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과정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연구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·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>개발</w:t>
            </w:r>
            <w:r>
              <w:rPr>
                <w:rFonts w:ascii="맑은 고딕" w:eastAsia="맑은 고딕" w:hAnsi="맑은 고딕" w:cs="맑은 고딕"/>
                <w:b/>
                <w:sz w:val="26"/>
                <w:szCs w:val="26"/>
              </w:rPr>
              <w:t xml:space="preserve"> </w:t>
            </w:r>
          </w:p>
        </w:tc>
      </w:tr>
      <w:tr>
        <w:trPr>
          <w:jc w:val="center"/>
          <w:trHeight w:val="1452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  <w:u w:color="auto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  <w:u w:color="auto"/>
              </w:rPr>
              <w:t xml:space="preserve">1.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  <w:u w:color="auto"/>
              </w:rPr>
              <w:t>연구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  <w:u w:color="auto"/>
              </w:rPr>
              <w:t>목적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spacing w:after="200" w:before="200" w:line="240" w:lineRule="auto"/>
              <w:rPr>
                <w:rFonts w:ascii="맑은 고딕" w:eastAsia="맑은 고딕" w:hAnsi="맑은 고딕" w:cs="맑은 고딕"/>
                <w:u w:color="auto"/>
              </w:rPr>
            </w:pPr>
            <w:r>
              <w:rPr>
                <w:rFonts w:ascii="맑은 고딕" w:eastAsia="맑은 고딕" w:hAnsi="맑은 고딕" w:cs="맑은 고딕"/>
                <w:u w:color="auto"/>
              </w:rPr>
              <w:t>가</w:t>
            </w:r>
            <w:r>
              <w:rPr>
                <w:rFonts w:ascii="맑은 고딕" w:eastAsia="맑은 고딕" w:hAnsi="맑은 고딕" w:cs="맑은 고딕"/>
                <w:u w:color="auto"/>
              </w:rPr>
              <w:t xml:space="preserve">.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티앤씨재단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공감교육과정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분석을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통해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현행의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교육과정을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점검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하고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,  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         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사회적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수요와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시류를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반영한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개정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교육과정으로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  <w:shd w:val="clear" w:color="auto" w:fill="F8F8F8"/>
              </w:rPr>
              <w:t>발전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  <w:shd w:val="clear" w:color="auto" w:fill="F8F8F8"/>
              </w:rPr>
              <w:t>시키고자함</w:t>
            </w:r>
          </w:p>
          <w:p>
            <w:pPr>
              <w:spacing w:after="200" w:before="200" w:line="240" w:lineRule="auto"/>
              <w:rPr>
                <w:rFonts w:ascii="맑은 고딕" w:eastAsia="맑은 고딕" w:hAnsi="맑은 고딕" w:cs="맑은 고딕"/>
                <w:u w:color="auto"/>
              </w:rPr>
            </w:pPr>
            <w:r>
              <w:rPr>
                <w:rFonts w:ascii="맑은 고딕" w:eastAsia="맑은 고딕" w:hAnsi="맑은 고딕" w:cs="맑은 고딕"/>
                <w:u w:color="auto"/>
              </w:rPr>
              <w:t>나</w:t>
            </w:r>
            <w:r>
              <w:rPr>
                <w:rFonts w:ascii="맑은 고딕" w:eastAsia="맑은 고딕" w:hAnsi="맑은 고딕" w:cs="맑은 고딕"/>
                <w:u w:color="auto"/>
              </w:rPr>
              <w:t xml:space="preserve">.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>교육과정과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>세부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>프로그램의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교육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매뉴얼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개발을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통해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재단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고유의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공감교육의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표준화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,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대외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확산에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D1C1D"/>
                <w:sz w:val="23"/>
                <w:szCs w:val="23"/>
                <w:u w:color="auto"/>
              </w:rPr>
              <w:t>활용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>하고자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>함</w:t>
            </w:r>
            <w:r>
              <w:rPr>
                <w:rFonts w:ascii="맑은 고딕" w:eastAsia="맑은 고딕" w:hAnsi="맑은 고딕" w:cs="맑은 고딕"/>
                <w:color w:val="1D1C1D"/>
                <w:sz w:val="23"/>
                <w:szCs w:val="23"/>
                <w:u w:color="auto"/>
              </w:rPr>
              <w:t xml:space="preserve"> </w:t>
            </w:r>
          </w:p>
        </w:tc>
      </w:tr>
      <w:tr>
        <w:trPr>
          <w:jc w:val="center"/>
          <w:trHeight w:val="6290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right="100"/>
              <w:jc w:val="center"/>
              <w:spacing w:after="240" w:before="240"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2.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연구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내용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spacing w:before="200"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가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국내</w:t>
            </w:r>
            <w:r>
              <w:rPr>
                <w:rFonts w:ascii="맑은 고딕" w:eastAsia="맑은 고딕" w:hAnsi="맑은 고딕" w:cs="맑은 고딕"/>
                <w:b/>
              </w:rPr>
              <w:t>·</w:t>
            </w:r>
            <w:r>
              <w:rPr>
                <w:rFonts w:ascii="맑은 고딕" w:eastAsia="맑은 고딕" w:hAnsi="맑은 고딕" w:cs="맑은 고딕"/>
                <w:b/>
              </w:rPr>
              <w:t>외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주요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동향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및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분석</w:t>
            </w:r>
            <w:r>
              <w:rPr>
                <w:rFonts w:ascii="맑은 고딕" w:eastAsia="맑은 고딕" w:hAnsi="맑은 고딕" w:cs="맑은 고딕"/>
                <w:b/>
              </w:rPr>
              <w:t xml:space="preserve">  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수요와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시의성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반영</w:t>
            </w:r>
            <w:r>
              <w:rPr>
                <w:rFonts w:ascii="맑은 고딕" w:eastAsia="맑은 고딕" w:hAnsi="맑은 고딕" w:cs="맑은 고딕"/>
              </w:rPr>
              <w:t xml:space="preserve">, </w:t>
            </w:r>
            <w:r>
              <w:rPr>
                <w:rFonts w:ascii="맑은 고딕" w:eastAsia="맑은 고딕" w:hAnsi="맑은 고딕" w:cs="맑은 고딕"/>
              </w:rPr>
              <w:t>다양한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방법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설계를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위한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유사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동향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및</w:t>
            </w:r>
            <w:r>
              <w:rPr>
                <w:lang w:eastAsia="ko-KR"/>
                <w:rFonts w:ascii="맑은 고딕" w:eastAsia="맑은 고딕" w:hAnsi="맑은 고딕" w:cs="맑은 고딕"/>
                <w:rtl w:val="off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사례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수집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분석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>
            <w:pPr>
              <w:ind w:right="100"/>
              <w:spacing w:before="200"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나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과정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및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프로그램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분석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  <w:p>
            <w:pPr>
              <w:ind w:right="100"/>
              <w:numPr>
                <w:ilvl w:val="0"/>
                <w:numId w:val="2"/>
              </w:numPr>
              <w:spacing w:after="20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상기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동향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연구와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티앤씨재단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공감교육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과정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개발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연구보고서</w:t>
            </w:r>
            <w:r>
              <w:rPr>
                <w:rFonts w:ascii="맑은 고딕" w:eastAsia="맑은 고딕" w:hAnsi="맑은 고딕" w:cs="맑은 고딕"/>
              </w:rPr>
              <w:t>(</w:t>
            </w:r>
            <w:r>
              <w:rPr>
                <w:rFonts w:ascii="맑은 고딕" w:eastAsia="맑은 고딕" w:hAnsi="맑은 고딕" w:cs="맑은 고딕"/>
              </w:rPr>
              <w:t>티앤씨재단</w:t>
            </w:r>
            <w:r>
              <w:rPr>
                <w:rFonts w:ascii="맑은 고딕" w:eastAsia="맑은 고딕" w:hAnsi="맑은 고딕" w:cs="맑은 고딕"/>
              </w:rPr>
              <w:t xml:space="preserve">, 2021) </w:t>
            </w:r>
            <w:r>
              <w:rPr>
                <w:rFonts w:ascii="맑은 고딕" w:eastAsia="맑은 고딕" w:hAnsi="맑은 고딕" w:cs="맑은 고딕"/>
              </w:rPr>
              <w:t>등을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참고하여</w:t>
            </w:r>
            <w:r>
              <w:rPr>
                <w:rFonts w:ascii="맑은 고딕" w:eastAsia="맑은 고딕" w:hAnsi="맑은 고딕" w:cs="맑은 고딕"/>
              </w:rPr>
              <w:t xml:space="preserve">, </w:t>
            </w:r>
            <w:r>
              <w:rPr>
                <w:rFonts w:ascii="맑은 고딕" w:eastAsia="맑은 고딕" w:hAnsi="맑은 고딕" w:cs="맑은 고딕"/>
              </w:rPr>
              <w:t>현행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티앤씨재단의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공감교육과정을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분석하고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개정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방향성과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근거를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제시</w:t>
            </w:r>
          </w:p>
          <w:p>
            <w:pPr>
              <w:spacing w:before="200"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다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개정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과정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방안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  <w:p>
            <w:pPr>
              <w:numPr>
                <w:ilvl w:val="0"/>
                <w:numId w:val="3"/>
              </w:num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티앤씨의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여섯가지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공감인재상과</w:t>
            </w:r>
            <w:r>
              <w:rPr>
                <w:rFonts w:ascii="맑은 고딕" w:eastAsia="맑은 고딕" w:hAnsi="맑은 고딕" w:cs="맑은 고딕"/>
              </w:rPr>
              <w:t xml:space="preserve"> ‘</w:t>
            </w:r>
            <w:r>
              <w:rPr>
                <w:rFonts w:ascii="맑은 고딕" w:eastAsia="맑은 고딕" w:hAnsi="맑은 고딕" w:cs="맑은 고딕"/>
              </w:rPr>
              <w:t>인지적</w:t>
            </w:r>
            <w:r>
              <w:rPr>
                <w:rFonts w:ascii="맑은 고딕" w:eastAsia="맑은 고딕" w:hAnsi="맑은 고딕" w:cs="맑은 고딕"/>
              </w:rPr>
              <w:t xml:space="preserve">, </w:t>
            </w:r>
            <w:r>
              <w:rPr>
                <w:rFonts w:ascii="맑은 고딕" w:eastAsia="맑은 고딕" w:hAnsi="맑은 고딕" w:cs="맑은 고딕"/>
              </w:rPr>
              <w:t>정서적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실천적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공감</w:t>
            </w:r>
            <w:r>
              <w:rPr>
                <w:rFonts w:ascii="맑은 고딕" w:eastAsia="맑은 고딕" w:hAnsi="맑은 고딕" w:cs="맑은 고딕"/>
              </w:rPr>
              <w:t>’</w:t>
            </w:r>
            <w:r>
              <w:rPr>
                <w:rFonts w:ascii="맑은 고딕" w:eastAsia="맑은 고딕" w:hAnsi="맑은 고딕" w:cs="맑은 고딕"/>
              </w:rPr>
              <w:t>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고려하여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단계별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교육목표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및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교육내용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체계화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>
            <w:pPr>
              <w:numPr>
                <w:ilvl w:val="0"/>
                <w:numId w:val="3"/>
              </w:numPr>
              <w:spacing w:after="20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프로그램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실시의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효과성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검증을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위한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평가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방법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제시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라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개정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세부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프로그램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및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교수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가이드라인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개발</w:t>
            </w:r>
            <w:r>
              <w:rPr>
                <w:rFonts w:ascii="맑은 고딕" w:eastAsia="맑은 고딕" w:hAnsi="맑은 고딕" w:cs="맑은 고딕"/>
                <w:b/>
              </w:rPr>
              <w:t xml:space="preserve">  </w:t>
            </w:r>
          </w:p>
          <w:p>
            <w:pPr>
              <w:numPr>
                <w:ilvl w:val="0"/>
                <w:numId w:val="4"/>
              </w:num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대상</w:t>
            </w:r>
            <w:r>
              <w:rPr>
                <w:rFonts w:ascii="맑은 고딕" w:eastAsia="맑은 고딕" w:hAnsi="맑은 고딕" w:cs="맑은 고딕"/>
              </w:rPr>
              <w:t xml:space="preserve">: </w:t>
            </w:r>
            <w:r>
              <w:rPr>
                <w:rFonts w:ascii="맑은 고딕" w:eastAsia="맑은 고딕" w:hAnsi="맑은 고딕" w:cs="맑은 고딕"/>
              </w:rPr>
              <w:t>티앤씨재단의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장학생</w:t>
            </w:r>
            <w:r>
              <w:rPr>
                <w:rFonts w:ascii="맑은 고딕" w:eastAsia="맑은 고딕" w:hAnsi="맑은 고딕" w:cs="맑은 고딕"/>
              </w:rPr>
              <w:t>(</w:t>
            </w:r>
            <w:r>
              <w:rPr>
                <w:rFonts w:ascii="맑은 고딕" w:eastAsia="맑은 고딕" w:hAnsi="맑은 고딕" w:cs="맑은 고딕"/>
              </w:rPr>
              <w:t>후기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청소년</w:t>
            </w:r>
            <w:r>
              <w:rPr>
                <w:rFonts w:ascii="맑은 고딕" w:eastAsia="맑은 고딕" w:hAnsi="맑은 고딕" w:cs="맑은 고딕"/>
              </w:rPr>
              <w:t xml:space="preserve"> 17</w:t>
            </w:r>
            <w:r>
              <w:rPr>
                <w:rFonts w:ascii="맑은 고딕" w:eastAsia="맑은 고딕" w:hAnsi="맑은 고딕" w:cs="맑은 고딕"/>
              </w:rPr>
              <w:t>세</w:t>
            </w:r>
            <w:r>
              <w:rPr>
                <w:rFonts w:ascii="맑은 고딕" w:eastAsia="맑은 고딕" w:hAnsi="맑은 고딕" w:cs="맑은 고딕"/>
              </w:rPr>
              <w:t>~24</w:t>
            </w:r>
            <w:r>
              <w:rPr>
                <w:rFonts w:ascii="맑은 고딕" w:eastAsia="맑은 고딕" w:hAnsi="맑은 고딕" w:cs="맑은 고딕"/>
              </w:rPr>
              <w:t>세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  <w:p>
            <w:pPr>
              <w:numPr>
                <w:ilvl w:val="0"/>
                <w:numId w:val="5"/>
              </w:num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프로그램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운영을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위한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교육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매뉴얼</w:t>
            </w:r>
            <w:r>
              <w:rPr>
                <w:rFonts w:ascii="맑은 고딕" w:eastAsia="맑은 고딕" w:hAnsi="맑은 고딕" w:cs="맑은 고딕"/>
              </w:rPr>
              <w:t xml:space="preserve">, </w:t>
            </w:r>
            <w:r>
              <w:rPr>
                <w:rFonts w:ascii="맑은 고딕" w:eastAsia="맑은 고딕" w:hAnsi="맑은 고딕" w:cs="맑은 고딕"/>
              </w:rPr>
              <w:t>표준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강의안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포함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</w:tc>
      </w:tr>
      <w:tr>
        <w:trPr>
          <w:jc w:val="center"/>
          <w:trHeight w:val="1005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right="100"/>
              <w:jc w:val="center"/>
              <w:spacing w:after="240" w:before="240"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3.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연구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산출물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right="100"/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가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공감교육과정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분석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및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개선안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보고서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  <w:p>
            <w:pPr>
              <w:ind w:right="100"/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나</w:t>
            </w:r>
            <w:r>
              <w:rPr>
                <w:rFonts w:ascii="맑은 고딕" w:eastAsia="맑은 고딕" w:hAnsi="맑은 고딕" w:cs="맑은 고딕"/>
                <w:b/>
              </w:rPr>
              <w:t xml:space="preserve">. </w:t>
            </w:r>
            <w:r>
              <w:rPr>
                <w:rFonts w:ascii="맑은 고딕" w:eastAsia="맑은 고딕" w:hAnsi="맑은 고딕" w:cs="맑은 고딕"/>
                <w:b/>
              </w:rPr>
              <w:t>개정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프로그램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매뉴얼</w:t>
            </w:r>
            <w:r>
              <w:rPr>
                <w:rFonts w:ascii="맑은 고딕" w:eastAsia="맑은 고딕" w:hAnsi="맑은 고딕" w:cs="맑은 고딕"/>
                <w:b/>
              </w:rPr>
              <w:t xml:space="preserve">, </w:t>
            </w:r>
            <w:r>
              <w:rPr>
                <w:rFonts w:ascii="맑은 고딕" w:eastAsia="맑은 고딕" w:hAnsi="맑은 고딕" w:cs="맑은 고딕"/>
                <w:b/>
              </w:rPr>
              <w:t>표준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강의안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</w:tc>
      </w:tr>
      <w:tr>
        <w:trPr>
          <w:jc w:val="center"/>
          <w:trHeight w:val="1351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4.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보고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사항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 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가</w:t>
            </w:r>
            <w:r>
              <w:rPr>
                <w:rFonts w:ascii="맑은 고딕" w:eastAsia="맑은 고딕" w:hAnsi="맑은 고딕" w:cs="맑은 고딕"/>
              </w:rPr>
              <w:t xml:space="preserve">. </w:t>
            </w:r>
            <w:r>
              <w:rPr>
                <w:rFonts w:ascii="맑은 고딕" w:eastAsia="맑은 고딕" w:hAnsi="맑은 고딕" w:cs="맑은 고딕"/>
              </w:rPr>
              <w:t>월간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</w:t>
            </w:r>
            <w:r>
              <w:rPr>
                <w:rFonts w:ascii="맑은 고딕" w:eastAsia="맑은 고딕" w:hAnsi="맑은 고딕" w:cs="맑은 고딕"/>
              </w:rPr>
              <w:t xml:space="preserve">: </w:t>
            </w:r>
            <w:r>
              <w:rPr>
                <w:rFonts w:ascii="맑은 고딕" w:eastAsia="맑은 고딕" w:hAnsi="맑은 고딕" w:cs="맑은 고딕"/>
              </w:rPr>
              <w:t>월</w:t>
            </w:r>
            <w:r>
              <w:rPr>
                <w:rFonts w:ascii="맑은 고딕" w:eastAsia="맑은 고딕" w:hAnsi="맑은 고딕" w:cs="맑은 고딕"/>
              </w:rPr>
              <w:t xml:space="preserve"> 1</w:t>
            </w:r>
            <w:r>
              <w:rPr>
                <w:rFonts w:ascii="맑은 고딕" w:eastAsia="맑은 고딕" w:hAnsi="맑은 고딕" w:cs="맑은 고딕"/>
              </w:rPr>
              <w:t>회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연구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추진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사항을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담당자에게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대면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나</w:t>
            </w:r>
            <w:r>
              <w:rPr>
                <w:rFonts w:ascii="맑은 고딕" w:eastAsia="맑은 고딕" w:hAnsi="맑은 고딕" w:cs="맑은 고딕"/>
              </w:rPr>
              <w:t xml:space="preserve">. </w:t>
            </w:r>
            <w:r>
              <w:rPr>
                <w:rFonts w:ascii="맑은 고딕" w:eastAsia="맑은 고딕" w:hAnsi="맑은 고딕" w:cs="맑은 고딕"/>
              </w:rPr>
              <w:t>중간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</w:t>
            </w:r>
            <w:r>
              <w:rPr>
                <w:rFonts w:ascii="맑은 고딕" w:eastAsia="맑은 고딕" w:hAnsi="맑은 고딕" w:cs="맑은 고딕"/>
              </w:rPr>
              <w:t xml:space="preserve">: </w:t>
            </w:r>
            <w:r>
              <w:rPr>
                <w:rFonts w:ascii="맑은 고딕" w:eastAsia="맑은 고딕" w:hAnsi="맑은 고딕" w:cs="맑은 고딕"/>
              </w:rPr>
              <w:t>연구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진행사항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검토를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위한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중간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회의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개최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다</w:t>
            </w:r>
            <w:r>
              <w:rPr>
                <w:rFonts w:ascii="맑은 고딕" w:eastAsia="맑은 고딕" w:hAnsi="맑은 고딕" w:cs="맑은 고딕"/>
              </w:rPr>
              <w:t xml:space="preserve">. </w:t>
            </w:r>
            <w:r>
              <w:rPr>
                <w:rFonts w:ascii="맑은 고딕" w:eastAsia="맑은 고딕" w:hAnsi="맑은 고딕" w:cs="맑은 고딕"/>
              </w:rPr>
              <w:t>결과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</w:t>
            </w:r>
            <w:r>
              <w:rPr>
                <w:rFonts w:ascii="맑은 고딕" w:eastAsia="맑은 고딕" w:hAnsi="맑은 고딕" w:cs="맑은 고딕"/>
              </w:rPr>
              <w:t xml:space="preserve">: </w:t>
            </w:r>
            <w:r>
              <w:rPr>
                <w:rFonts w:ascii="맑은 고딕" w:eastAsia="맑은 고딕" w:hAnsi="맑은 고딕" w:cs="맑은 고딕"/>
              </w:rPr>
              <w:t>연구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수행결과를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평가하고</w:t>
            </w:r>
            <w:r>
              <w:rPr>
                <w:rFonts w:ascii="맑은 고딕" w:eastAsia="맑은 고딕" w:hAnsi="맑은 고딕" w:cs="맑은 고딕"/>
              </w:rPr>
              <w:t xml:space="preserve">, </w:t>
            </w:r>
            <w:r>
              <w:rPr>
                <w:rFonts w:ascii="맑은 고딕" w:eastAsia="맑은 고딕" w:hAnsi="맑은 고딕" w:cs="맑은 고딕"/>
              </w:rPr>
              <w:t>활용방안을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논의하는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보고회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개최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</w:tc>
      </w:tr>
      <w:tr>
        <w:trPr>
          <w:jc w:val="center"/>
          <w:trHeight w:val="699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5.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연구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용역비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spacing w:after="200" w:before="20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연구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착수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후</w:t>
            </w:r>
            <w:r>
              <w:rPr>
                <w:rFonts w:ascii="맑은 고딕" w:eastAsia="맑은 고딕" w:hAnsi="맑은 고딕" w:cs="맑은 고딕"/>
              </w:rPr>
              <w:t xml:space="preserve"> 7</w:t>
            </w:r>
            <w:r>
              <w:rPr>
                <w:rFonts w:ascii="맑은 고딕" w:eastAsia="맑은 고딕" w:hAnsi="맑은 고딕" w:cs="맑은 고딕"/>
              </w:rPr>
              <w:t>개월</w:t>
            </w:r>
            <w:r>
              <w:rPr>
                <w:rFonts w:ascii="맑은 고딕" w:eastAsia="맑은 고딕" w:hAnsi="맑은 고딕" w:cs="맑은 고딕"/>
              </w:rPr>
              <w:t>/ 9,000</w:t>
            </w:r>
            <w:r>
              <w:rPr>
                <w:rFonts w:ascii="맑은 고딕" w:eastAsia="맑은 고딕" w:hAnsi="맑은 고딕" w:cs="맑은 고딕"/>
              </w:rPr>
              <w:t>만원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내외</w:t>
            </w:r>
          </w:p>
        </w:tc>
      </w:tr>
      <w:tr>
        <w:trPr>
          <w:jc w:val="center"/>
          <w:trHeight w:val="1215" w:hRule="atLeast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6.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티앤씨재단</w:t>
            </w:r>
          </w:p>
          <w:p>
            <w:pPr>
              <w:jc w:val="center"/>
              <w:spacing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 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공감교육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    </w:t>
            </w:r>
          </w:p>
          <w:p>
            <w:pPr>
              <w:jc w:val="center"/>
              <w:spacing w:line="240" w:lineRule="auto"/>
              <w:rPr>
                <w:rFonts w:ascii="맑은 고딕" w:eastAsia="맑은 고딕" w:hAnsi="맑은 고딕" w:cs="맑은 고딕"/>
                <w:b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  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>참고자료</w:t>
            </w: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7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과정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개발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보고서</w:t>
            </w:r>
            <w:r>
              <w:rPr>
                <w:rFonts w:ascii="맑은 고딕" w:eastAsia="맑은 고딕" w:hAnsi="맑은 고딕" w:cs="맑은 고딕"/>
                <w:b/>
              </w:rPr>
              <w:t>I</w:t>
            </w:r>
            <w:r>
              <w:rPr>
                <w:rFonts w:ascii="맑은 고딕" w:eastAsia="맑은 고딕" w:hAnsi="맑은 고딕" w:cs="맑은 고딕"/>
                <w:b/>
              </w:rPr>
              <w:t>,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티앤씨재단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공감교육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과정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개발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보고서</w:t>
            </w:r>
            <w:r>
              <w:rPr>
                <w:rFonts w:ascii="맑은 고딕" w:eastAsia="맑은 고딕" w:hAnsi="맑은 고딕" w:cs="맑은 고딕"/>
                <w:b/>
              </w:rPr>
              <w:t>II</w:t>
            </w:r>
            <w:r>
              <w:rPr>
                <w:rFonts w:ascii="맑은 고딕" w:eastAsia="맑은 고딕" w:hAnsi="맑은 고딕" w:cs="맑은 고딕"/>
                <w:b/>
              </w:rPr>
              <w:t>&lt;</w:t>
            </w:r>
            <w:r>
              <w:rPr>
                <w:rFonts w:ascii="맑은 고딕" w:eastAsia="맑은 고딕" w:hAnsi="맑은 고딕" w:cs="맑은 고딕"/>
                <w:b/>
              </w:rPr>
              <w:t>사회혁신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프로젝트</w:t>
            </w:r>
            <w:r>
              <w:rPr>
                <w:rFonts w:ascii="맑은 고딕" w:eastAsia="맑은 고딕" w:hAnsi="맑은 고딕" w:cs="맑은 고딕"/>
                <w:b/>
              </w:rPr>
              <w:t xml:space="preserve">&gt;  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fldChar w:fldCharType="begin"/>
            </w:r>
            <w:r>
              <w:instrText xml:space="preserve"> HYPERLINK "https://drive.google.com/drive/folders/1XmXhgiE5U5IOMOjjDCJbzBdR8qoeePDb?usp=share_link" </w:instrText>
            </w:r>
            <w:r>
              <w:fldChar w:fldCharType="separate"/>
            </w:r>
            <w:r>
              <w:rPr>
                <w:rFonts w:ascii="맑은 고딕" w:eastAsia="맑은 고딕" w:hAnsi="맑은 고딕" w:cs="맑은 고딕"/>
                <w:b/>
                <w:color w:val="1155CC"/>
                <w:u w:val="single" w:color="auto"/>
              </w:rPr>
              <w:t xml:space="preserve"> [</w:t>
            </w:r>
            <w:r>
              <w:rPr>
                <w:rFonts w:ascii="맑은 고딕" w:eastAsia="맑은 고딕" w:hAnsi="맑은 고딕" w:cs="맑은 고딕"/>
                <w:b/>
                <w:color w:val="1155CC"/>
                <w:u w:val="single" w:color="auto"/>
              </w:rPr>
              <w:t>참고자료</w:t>
            </w:r>
            <w:r>
              <w:rPr>
                <w:rFonts w:ascii="맑은 고딕" w:eastAsia="맑은 고딕" w:hAnsi="맑은 고딕" w:cs="맑은 고딕"/>
                <w:b/>
                <w:color w:val="1155CC"/>
                <w:u w:val="single" w:color="auto"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  <w:color w:val="1155CC"/>
                <w:u w:val="single" w:color="auto"/>
              </w:rPr>
              <w:t>바로가기</w:t>
            </w:r>
            <w:r>
              <w:rPr>
                <w:rFonts w:ascii="맑은 고딕" w:eastAsia="맑은 고딕" w:hAnsi="맑은 고딕" w:cs="맑은 고딕"/>
                <w:b/>
                <w:color w:val="1155CC"/>
                <w:u w:val="single" w:color="auto"/>
              </w:rPr>
              <w:t xml:space="preserve">] </w:t>
            </w:r>
            <w:r>
              <w:fldChar w:fldCharType="end"/>
            </w:r>
          </w:p>
        </w:tc>
      </w:tr>
      <w:tr>
        <w:trPr>
          <w:jc w:val="center"/>
          <w:trHeight w:val="1354" w:hRule="atLeast"/>
        </w:trPr>
        <w:tc>
          <w:tcPr>
            <w:tcW w:w="94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numPr>
                <w:ilvl w:val="0"/>
                <w:numId w:val="6"/>
              </w:numPr>
              <w:spacing w:before="240"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상기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연구과제를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기본으로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작성하되</w:t>
            </w:r>
            <w:r>
              <w:rPr>
                <w:rFonts w:ascii="맑은 고딕" w:eastAsia="맑은 고딕" w:hAnsi="맑은 고딕" w:cs="맑은 고딕"/>
                <w:b/>
              </w:rPr>
              <w:t xml:space="preserve">, </w:t>
            </w:r>
            <w:r>
              <w:rPr>
                <w:rFonts w:ascii="맑은 고딕" w:eastAsia="맑은 고딕" w:hAnsi="맑은 고딕" w:cs="맑은 고딕"/>
                <w:b/>
              </w:rPr>
              <w:t>과제와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관련된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새로운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아이디어나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필요한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후속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연구도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제안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할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있음</w:t>
            </w:r>
          </w:p>
          <w:p>
            <w:pPr>
              <w:numPr>
                <w:ilvl w:val="0"/>
                <w:numId w:val="6"/>
              </w:numPr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우수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아이디어는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타당성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검토를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거쳐</w:t>
            </w:r>
            <w:r>
              <w:rPr>
                <w:rFonts w:ascii="맑은 고딕" w:eastAsia="맑은 고딕" w:hAnsi="맑은 고딕" w:cs="맑은 고딕"/>
                <w:b/>
              </w:rPr>
              <w:t xml:space="preserve">, </w:t>
            </w:r>
            <w:r>
              <w:rPr>
                <w:rFonts w:ascii="맑은 고딕" w:eastAsia="맑은 고딕" w:hAnsi="맑은 고딕" w:cs="맑은 고딕"/>
                <w:b/>
              </w:rPr>
              <w:t>별도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예산을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지원하여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별</w:t>
            </w:r>
            <w:r>
              <w:rPr>
                <w:rFonts w:ascii="맑은 고딕" w:eastAsia="맑은 고딕" w:hAnsi="맑은 고딕" w:cs="맑은 고딕"/>
                <w:b/>
              </w:rPr>
              <w:t>도의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연구과제로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  <w:p>
            <w:pPr>
              <w:ind w:left="720"/>
              <w:spacing w:line="240" w:lineRule="auto"/>
              <w:rPr>
                <w:rFonts w:ascii="맑은 고딕" w:eastAsia="맑은 고딕" w:hAnsi="맑은 고딕" w:cs="맑은 고딕"/>
                <w:b/>
              </w:rPr>
            </w:pPr>
            <w:r>
              <w:rPr>
                <w:rFonts w:ascii="맑은 고딕" w:eastAsia="맑은 고딕" w:hAnsi="맑은 고딕" w:cs="맑은 고딕"/>
                <w:b/>
              </w:rPr>
              <w:t>발전시킬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수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  <w:r>
              <w:rPr>
                <w:rFonts w:ascii="맑은 고딕" w:eastAsia="맑은 고딕" w:hAnsi="맑은 고딕" w:cs="맑은 고딕"/>
                <w:b/>
              </w:rPr>
              <w:t>있음</w:t>
            </w:r>
            <w:r>
              <w:rPr>
                <w:rFonts w:ascii="맑은 고딕" w:eastAsia="맑은 고딕" w:hAnsi="맑은 고딕" w:cs="맑은 고딕"/>
                <w:b/>
              </w:rPr>
              <w:t xml:space="preserve"> </w:t>
            </w:r>
          </w:p>
          <w:p>
            <w:pPr>
              <w:spacing w:line="240" w:lineRule="auto"/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/>
                <w:b/>
                <w:sz w:val="24"/>
                <w:szCs w:val="24"/>
              </w:rPr>
              <w:t xml:space="preserve">  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 [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붙임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2.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연구계획서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]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의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마지막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목차로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‘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기타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제안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사항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’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추가하여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>작성함</w:t>
            </w:r>
            <w:r>
              <w:rPr>
                <w:rFonts w:ascii="맑은 고딕" w:eastAsia="맑은 고딕" w:hAnsi="맑은 고딕" w:cs="맑은 고딕"/>
                <w:sz w:val="24"/>
                <w:szCs w:val="24"/>
              </w:rPr>
              <w:t xml:space="preserve">.  </w:t>
            </w:r>
          </w:p>
        </w:tc>
      </w:tr>
    </w:tbl>
    <w:p>
      <w:pPr>
        <w:spacing w:line="240" w:lineRule="auto"/>
        <w:rPr>
          <w:rFonts w:ascii="맑은 고딕" w:eastAsia="맑은 고딕" w:hAnsi="맑은 고딕" w:cs="맑은 고딕"/>
        </w:rPr>
      </w:pPr>
    </w:p>
    <w:p>
      <w:pPr>
        <w:jc w:val="both"/>
        <w:rPr>
          <w:rFonts w:ascii="맑은 고딕" w:eastAsia="맑은 고딕" w:hAnsi="맑은 고딕" w:cs="맑은 고딕"/>
          <w:b/>
          <w:sz w:val="26"/>
          <w:szCs w:val="26"/>
        </w:rPr>
      </w:pPr>
      <w:r>
        <w:rPr>
          <w:rFonts w:ascii="맑은 고딕" w:eastAsia="맑은 고딕" w:hAnsi="맑은 고딕" w:cs="맑은 고딕"/>
          <w:b/>
          <w:sz w:val="26"/>
          <w:szCs w:val="26"/>
        </w:rPr>
        <w:t>⬛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  <w:r>
        <w:rPr>
          <w:rFonts w:ascii="맑은 고딕" w:eastAsia="맑은 고딕" w:hAnsi="맑은 고딕" w:cs="맑은 고딕"/>
          <w:b/>
          <w:sz w:val="26"/>
          <w:szCs w:val="26"/>
        </w:rPr>
        <w:t>확인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  <w:r>
        <w:rPr>
          <w:rFonts w:ascii="맑은 고딕" w:eastAsia="맑은 고딕" w:hAnsi="맑은 고딕" w:cs="맑은 고딕"/>
          <w:b/>
          <w:sz w:val="26"/>
          <w:szCs w:val="26"/>
        </w:rPr>
        <w:t>사항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1. </w:t>
      </w:r>
      <w:r>
        <w:rPr>
          <w:rFonts w:ascii="맑은 고딕" w:eastAsia="맑은 고딕" w:hAnsi="맑은 고딕" w:cs="맑은 고딕"/>
        </w:rPr>
        <w:t>제출된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신청서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및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관련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서류는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반환하지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않음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2. </w:t>
      </w:r>
      <w:r>
        <w:rPr>
          <w:rFonts w:ascii="맑은 고딕" w:eastAsia="맑은 고딕" w:hAnsi="맑은 고딕" w:cs="맑은 고딕"/>
        </w:rPr>
        <w:t>제출된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연구계획서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심사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및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평가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결과에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따라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연구팀을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선정하지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않을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있고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재공모를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진행할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있음</w:t>
      </w:r>
      <w:r>
        <w:rPr>
          <w:rFonts w:ascii="맑은 고딕" w:eastAsia="맑은 고딕" w:hAnsi="맑은 고딕" w:cs="맑은 고딕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2. </w:t>
      </w:r>
      <w:r>
        <w:rPr>
          <w:rFonts w:ascii="맑은 고딕" w:eastAsia="맑은 고딕" w:hAnsi="맑은 고딕" w:cs="맑은 고딕"/>
        </w:rPr>
        <w:t>최종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따른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산출물의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소유권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저작권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보고서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판권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유</w:t>
      </w:r>
      <w:r>
        <w:rPr>
          <w:rFonts w:ascii="맑은 고딕" w:eastAsia="맑은 고딕" w:hAnsi="맑은 고딕" w:cs="맑은 고딕"/>
        </w:rPr>
        <w:t>/</w:t>
      </w:r>
      <w:r>
        <w:rPr>
          <w:rFonts w:ascii="맑은 고딕" w:eastAsia="맑은 고딕" w:hAnsi="맑은 고딕" w:cs="맑은 고딕"/>
        </w:rPr>
        <w:t>무형의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모든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기타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제반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권리는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티앤씨재단에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있음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3. </w:t>
      </w:r>
      <w:r>
        <w:rPr>
          <w:rFonts w:ascii="맑은 고딕" w:eastAsia="맑은 고딕" w:hAnsi="맑은 고딕" w:cs="맑은 고딕"/>
        </w:rPr>
        <w:t>수행의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결과물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일체에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대해서는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재단의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사전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승인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없이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언론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공개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대외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발표를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금지함</w:t>
      </w:r>
      <w:r>
        <w:rPr>
          <w:rFonts w:ascii="맑은 고딕" w:eastAsia="맑은 고딕" w:hAnsi="맑은 고딕" w:cs="맑은 고딕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4. </w:t>
      </w:r>
      <w:r>
        <w:rPr>
          <w:rFonts w:ascii="맑은 고딕" w:eastAsia="맑은 고딕" w:hAnsi="맑은 고딕" w:cs="맑은 고딕"/>
        </w:rPr>
        <w:t>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과업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요구되는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제</w:t>
      </w:r>
      <w:r>
        <w:rPr>
          <w:rFonts w:ascii="맑은 고딕" w:eastAsia="맑은 고딕" w:hAnsi="맑은 고딕" w:cs="맑은 고딕"/>
        </w:rPr>
        <w:t>3</w:t>
      </w:r>
      <w:r>
        <w:rPr>
          <w:rFonts w:ascii="맑은 고딕" w:eastAsia="맑은 고딕" w:hAnsi="맑은 고딕" w:cs="맑은 고딕"/>
        </w:rPr>
        <w:t>자의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권리</w:t>
      </w:r>
      <w:r>
        <w:rPr>
          <w:rFonts w:ascii="맑은 고딕" w:eastAsia="맑은 고딕" w:hAnsi="맑은 고딕" w:cs="맑은 고딕"/>
        </w:rPr>
        <w:t>(</w:t>
      </w:r>
      <w:r>
        <w:rPr>
          <w:rFonts w:ascii="맑은 고딕" w:eastAsia="맑은 고딕" w:hAnsi="맑은 고딕" w:cs="맑은 고딕"/>
        </w:rPr>
        <w:t>저작권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특허권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</w:t>
      </w:r>
      <w:r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/>
        </w:rPr>
        <w:t>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활용함에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있어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수행기관은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사용에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대한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비용부담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이체를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책임지며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계약기관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경과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발생한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저작권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문제에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대해서도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수행기관이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법적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책임을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부담함</w:t>
      </w:r>
      <w:r>
        <w:rPr>
          <w:rFonts w:ascii="맑은 고딕" w:eastAsia="맑은 고딕" w:hAnsi="맑은 고딕" w:cs="맑은 고딕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 w:hint="eastAsia"/>
        </w:rPr>
      </w:pPr>
      <w:r>
        <w:rPr>
          <w:rFonts w:ascii="맑은 고딕" w:eastAsia="맑은 고딕" w:hAnsi="맑은 고딕" w:cs="맑은 고딕"/>
        </w:rPr>
        <w:t xml:space="preserve">5. </w:t>
      </w:r>
      <w:r>
        <w:rPr>
          <w:rFonts w:ascii="맑은 고딕" w:eastAsia="맑은 고딕" w:hAnsi="맑은 고딕" w:cs="맑은 고딕"/>
        </w:rPr>
        <w:t>구체적인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조건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및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연구수행방식은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최종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기관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선정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이후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계약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체결시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협의를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통해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정함</w:t>
      </w:r>
    </w:p>
    <w:p>
      <w:pPr>
        <w:jc w:val="both"/>
        <w:rPr>
          <w:rFonts w:ascii="맑은 고딕" w:eastAsia="맑은 고딕" w:hAnsi="맑은 고딕" w:cs="맑은 고딕"/>
          <w:b/>
          <w:sz w:val="26"/>
          <w:szCs w:val="26"/>
        </w:rPr>
      </w:pPr>
      <w:r>
        <w:rPr>
          <w:rFonts w:ascii="맑은 고딕" w:eastAsia="맑은 고딕" w:hAnsi="맑은 고딕" w:cs="맑은 고딕"/>
          <w:b/>
          <w:sz w:val="26"/>
          <w:szCs w:val="26"/>
        </w:rPr>
        <w:t>⬛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  <w:r>
        <w:rPr>
          <w:rFonts w:ascii="맑은 고딕" w:eastAsia="맑은 고딕" w:hAnsi="맑은 고딕" w:cs="맑은 고딕"/>
          <w:b/>
          <w:sz w:val="26"/>
          <w:szCs w:val="26"/>
        </w:rPr>
        <w:t>보안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  <w:r>
        <w:rPr>
          <w:rFonts w:ascii="맑은 고딕" w:eastAsia="맑은 고딕" w:hAnsi="맑은 고딕" w:cs="맑은 고딕"/>
          <w:b/>
          <w:sz w:val="26"/>
          <w:szCs w:val="26"/>
        </w:rPr>
        <w:t>사항</w:t>
      </w:r>
      <w:r>
        <w:rPr>
          <w:rFonts w:ascii="맑은 고딕" w:eastAsia="맑은 고딕" w:hAnsi="맑은 고딕" w:cs="맑은 고딕"/>
          <w:b/>
          <w:sz w:val="26"/>
          <w:szCs w:val="26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1. </w:t>
      </w:r>
      <w:r>
        <w:rPr>
          <w:rFonts w:ascii="맑은 고딕" w:eastAsia="맑은 고딕" w:hAnsi="맑은 고딕" w:cs="맑은 고딕"/>
        </w:rPr>
        <w:t>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수행을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위하여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연구자가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취득한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서류와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자료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관련되지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않은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목적으로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사용이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불가하며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연구자는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수집된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모든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자료에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대해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보안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관리를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하여야함</w:t>
      </w:r>
      <w:r>
        <w:rPr>
          <w:rFonts w:ascii="맑은 고딕" w:eastAsia="맑은 고딕" w:hAnsi="맑은 고딕" w:cs="맑은 고딕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2. </w:t>
      </w:r>
      <w:r>
        <w:rPr>
          <w:rFonts w:ascii="맑은 고딕" w:eastAsia="맑은 고딕" w:hAnsi="맑은 고딕" w:cs="맑은 고딕"/>
        </w:rPr>
        <w:t>연구자는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재단으로부터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제공받은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관련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서류를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제</w:t>
      </w:r>
      <w:r>
        <w:rPr>
          <w:rFonts w:ascii="맑은 고딕" w:eastAsia="맑은 고딕" w:hAnsi="맑은 고딕" w:cs="맑은 고딕"/>
        </w:rPr>
        <w:t>3</w:t>
      </w:r>
      <w:r>
        <w:rPr>
          <w:rFonts w:ascii="맑은 고딕" w:eastAsia="맑은 고딕" w:hAnsi="맑은 고딕" w:cs="맑은 고딕"/>
        </w:rPr>
        <w:t>자에게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제공할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없으며</w:t>
      </w:r>
      <w:r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/>
        </w:rPr>
        <w:t>재단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승인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없이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외부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유출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또는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누설할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경우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이에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따른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모든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법률적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책임을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짐</w:t>
      </w:r>
      <w:r>
        <w:rPr>
          <w:rFonts w:ascii="맑은 고딕" w:eastAsia="맑은 고딕" w:hAnsi="맑은 고딕" w:cs="맑은 고딕"/>
        </w:rPr>
        <w:t xml:space="preserve"> </w:t>
      </w:r>
    </w:p>
    <w:p>
      <w:pPr>
        <w:jc w:val="both"/>
        <w:spacing w:after="200" w:line="240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3. </w:t>
      </w:r>
      <w:r>
        <w:rPr>
          <w:rFonts w:ascii="맑은 고딕" w:eastAsia="맑은 고딕" w:hAnsi="맑은 고딕" w:cs="맑은 고딕"/>
        </w:rPr>
        <w:t>참여인력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변경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연구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내용의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유출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방지를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위한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선량한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주의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의무와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조치를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취하여야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함</w:t>
      </w:r>
      <w:r>
        <w:rPr>
          <w:rFonts w:ascii="맑은 고딕" w:eastAsia="맑은 고딕" w:hAnsi="맑은 고딕" w:cs="맑은 고딕"/>
        </w:rPr>
        <w:t xml:space="preserve"> </w:t>
      </w:r>
    </w:p>
    <w:sectPr>
      <w:pgSz w:w="11909" w:h="16834"/>
      <w:pgMar w:top="1701" w:right="1440" w:bottom="1440" w:left="1440" w:header="720" w:footer="720" w:gutter="0"/>
      <w:cols w:space="720"/>
      <w:docGrid w:linePitch="299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492c66b4"/>
    <w:multiLevelType w:val="multilevel"/>
    <w:tmpl w:val="bf465b14"/>
    <w:lvl w:ilvl="0">
      <w:start w:val="1"/>
      <w:numFmt w:val="bullet"/>
      <w:lvlText w:val="-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 w:color="auto"/>
      </w:rPr>
    </w:lvl>
  </w:abstractNum>
  <w:abstractNum w:abstractNumId="1">
    <w:nsid w:val="338364a9"/>
    <w:multiLevelType w:val="multilevel"/>
    <w:tmpl w:val="e82eec30"/>
    <w:lvl w:ilvl="0">
      <w:start w:val="1"/>
      <w:numFmt w:val="bullet"/>
      <w:lvlText w:val="-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 w:color="auto"/>
      </w:rPr>
    </w:lvl>
  </w:abstractNum>
  <w:abstractNum w:abstractNumId="2">
    <w:nsid w:val="3f137109"/>
    <w:multiLevelType w:val="multilevel"/>
    <w:tmpl w:val="90ca13f0"/>
    <w:lvl w:ilvl="0">
      <w:start w:val="1"/>
      <w:numFmt w:val="bullet"/>
      <w:lvlText w:val="-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 w:color="auto"/>
      </w:rPr>
    </w:lvl>
  </w:abstractNum>
  <w:abstractNum w:abstractNumId="3">
    <w:nsid w:val="53dc5648"/>
    <w:multiLevelType w:val="multilevel"/>
    <w:tmpl w:val="7e029b3a"/>
    <w:lvl w:ilvl="0">
      <w:start w:val="1"/>
      <w:numFmt w:val="bullet"/>
      <w:lvlText w:val="-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 w:color="auto"/>
      </w:rPr>
    </w:lvl>
  </w:abstractNum>
  <w:abstractNum w:abstractNumId="4">
    <w:nsid w:val="46bb4a5b"/>
    <w:multiLevelType w:val="multilevel"/>
    <w:tmpl w:val="802c7614"/>
    <w:lvl w:ilvl="0">
      <w:start w:val="1"/>
      <w:numFmt w:val="bullet"/>
      <w:lvlText w:val="-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 w:color="auto"/>
      </w:rPr>
    </w:lvl>
  </w:abstractNum>
  <w:abstractNum w:abstractNumId="5">
    <w:nsid w:val="7a8505a2"/>
    <w:multiLevelType w:val="multilevel"/>
    <w:tmpl w:val="95c4e75e"/>
    <w:lvl w:ilvl="0">
      <w:start w:val="1"/>
      <w:numFmt w:val="bullet"/>
      <w:lvlText w:val="★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 w:color="auto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ko" w:eastAsia="ko-KR" w:bidi="ar-SA"/>
        <w:rFonts w:ascii="Arial" w:eastAsiaTheme="minorEastAsia" w:hAnsi="Arial" w:cs="Arial"/>
        <w:sz w:val="22"/>
        <w:szCs w:val="22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uiPriority w:val="9"/>
    <w:basedOn w:val="a"/>
    <w:next w:val="a"/>
    <w:qFormat/>
    <w:pPr>
      <w:keepNext/>
      <w:keepLines/>
      <w:outlineLvl w:val="0"/>
      <w:spacing w:after="120" w:before="400"/>
    </w:pPr>
    <w:rPr>
      <w:sz w:val="40"/>
      <w:szCs w:val="40"/>
    </w:rPr>
  </w:style>
  <w:style w:type="paragraph" w:styleId="2">
    <w:name w:val="heading 2"/>
    <w:uiPriority w:val="9"/>
    <w:basedOn w:val="a"/>
    <w:next w:val="a"/>
    <w:qFormat/>
    <w:semiHidden/>
    <w:unhideWhenUsed/>
    <w:pPr>
      <w:keepNext/>
      <w:keepLines/>
      <w:outlineLvl w:val="1"/>
      <w:spacing w:after="120" w:before="360"/>
    </w:pPr>
    <w:rPr>
      <w:sz w:val="32"/>
      <w:szCs w:val="32"/>
    </w:rPr>
  </w:style>
  <w:style w:type="paragraph" w:styleId="3">
    <w:name w:val="heading 3"/>
    <w:uiPriority w:val="9"/>
    <w:basedOn w:val="a"/>
    <w:next w:val="a"/>
    <w:qFormat/>
    <w:semiHidden/>
    <w:unhideWhenUsed/>
    <w:pPr>
      <w:keepNext/>
      <w:keepLines/>
      <w:outlineLvl w:val="2"/>
      <w:spacing w:after="80" w:before="320"/>
    </w:pPr>
    <w:rPr>
      <w:color w:val="434343"/>
      <w:sz w:val="28"/>
      <w:szCs w:val="28"/>
    </w:rPr>
  </w:style>
  <w:style w:type="paragraph" w:styleId="4">
    <w:name w:val="heading 4"/>
    <w:uiPriority w:val="9"/>
    <w:basedOn w:val="a"/>
    <w:next w:val="a"/>
    <w:qFormat/>
    <w:semiHidden/>
    <w:unhideWhenUsed/>
    <w:pPr>
      <w:keepNext/>
      <w:keepLines/>
      <w:outlineLvl w:val="3"/>
      <w:spacing w:after="80" w:before="280"/>
    </w:pPr>
    <w:rPr>
      <w:color w:val="666666"/>
      <w:sz w:val="24"/>
      <w:szCs w:val="24"/>
    </w:rPr>
  </w:style>
  <w:style w:type="paragraph" w:styleId="5">
    <w:name w:val="heading 5"/>
    <w:uiPriority w:val="9"/>
    <w:basedOn w:val="a"/>
    <w:next w:val="a"/>
    <w:qFormat/>
    <w:semiHidden/>
    <w:unhideWhenUsed/>
    <w:pPr>
      <w:keepNext/>
      <w:keepLines/>
      <w:outlineLvl w:val="4"/>
      <w:spacing w:after="80" w:before="240"/>
    </w:pPr>
    <w:rPr>
      <w:color w:val="666666"/>
    </w:rPr>
  </w:style>
  <w:style w:type="paragraph" w:styleId="6">
    <w:name w:val="heading 6"/>
    <w:uiPriority w:val="9"/>
    <w:basedOn w:val="a"/>
    <w:next w:val="a"/>
    <w:qFormat/>
    <w:semiHidden/>
    <w:unhideWhenUsed/>
    <w:pPr>
      <w:keepNext/>
      <w:keepLines/>
      <w:outlineLvl w:val="5"/>
      <w:spacing w:after="80" w:before="240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uiPriority w:val="10"/>
    <w:basedOn w:val="a"/>
    <w:next w:val="a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uiPriority w:val="11"/>
    <w:basedOn w:val="a"/>
    <w:next w:val="a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CellMar>
        <w:top w:w="100" w:type="dxa"/>
        <w:left w:w="100" w:type="dxa"/>
        <w:bottom w:w="100" w:type="dxa"/>
        <w:right w:w="100" w:type="dxa"/>
      </w:tblCellMar>
      <w:tblStyleColBandSize w:val="1"/>
      <w:tblStyleRowBandSize w:val="1"/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2023-02-02T07:34:00Z</dcterms:created>
  <dcterms:modified xsi:type="dcterms:W3CDTF">2023-02-10T05:44:04Z</dcterms:modified>
  <cp:version>1200.0100.01</cp:version>
</cp:coreProperties>
</file>